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27F9" w14:textId="77777777" w:rsidR="0088285B" w:rsidRDefault="0088285B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房地產地價連續兩年上漲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</w:p>
    <w:p w14:paraId="028E8A55" w14:textId="77777777" w:rsidR="0088285B" w:rsidRDefault="0088285B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</w:p>
    <w:p w14:paraId="6BB0B6A8" w14:textId="77777777" w:rsidR="0088285B" w:rsidRDefault="0088285B" w:rsidP="00635A04">
      <w:pPr>
        <w:ind w:firstLineChars="100" w:firstLine="270"/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國稅廳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3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日公佈了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2023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年（截至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1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月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1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日）土地價格，該價格將作為計算遺產稅和贈與稅的基礎。</w:t>
      </w:r>
      <w:r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全國約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31.6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萬個地點標準住宅用地平均變動率比上年增長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1.5%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，連續第二年增長。</w:t>
      </w:r>
      <w:r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因入境限制放寬等武漢肺炎影響而停滯的商業活動變得活躍。</w:t>
      </w:r>
      <w:r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受訪日外國遊客需求影響較大的商業區的複蘇情況已經明朗。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</w:p>
    <w:p w14:paraId="6DA5B23C" w14:textId="77777777" w:rsidR="0088285B" w:rsidRDefault="0088285B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</w:p>
    <w:p w14:paraId="6E3865A4" w14:textId="77777777" w:rsidR="0088285B" w:rsidRDefault="0088285B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商業信心七個季度以來首次改善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</w:p>
    <w:p w14:paraId="4FDA9096" w14:textId="77777777" w:rsidR="0088285B" w:rsidRDefault="0088285B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</w:p>
    <w:p w14:paraId="343283F9" w14:textId="77777777" w:rsidR="0088285B" w:rsidRDefault="0088285B" w:rsidP="00635A04">
      <w:pPr>
        <w:ind w:firstLineChars="100" w:firstLine="270"/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日本</w:t>
      </w:r>
      <w:r>
        <w:rPr>
          <w:rStyle w:val="rynqvb"/>
          <w:rFonts w:ascii="Helvetica" w:hAnsi="Helvetica" w:cs="Helvetica" w:hint="eastAsia"/>
          <w:color w:val="3C4043"/>
          <w:sz w:val="27"/>
          <w:szCs w:val="27"/>
          <w:shd w:val="clear" w:color="auto" w:fill="F5F5F5"/>
        </w:rPr>
        <w:t>銀行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6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月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3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日公佈，反映大型製造業企業近期商業景氣的代表性指數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“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商業景氣指數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”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較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3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月份上次調</w:t>
      </w:r>
      <w:r>
        <w:rPr>
          <w:rStyle w:val="rynqvb"/>
          <w:rFonts w:ascii="PMingLiU" w:eastAsia="PMingLiU" w:hAnsi="PMingLiU" w:cs="PMingLiU" w:hint="eastAsia"/>
          <w:color w:val="3C4043"/>
          <w:sz w:val="27"/>
          <w:szCs w:val="27"/>
          <w:shd w:val="clear" w:color="auto" w:fill="F5F5F5"/>
        </w:rPr>
        <w:t>查</w:t>
      </w:r>
      <w:r>
        <w:rPr>
          <w:rStyle w:val="rynqvb"/>
          <w:rFonts w:ascii="游明朝" w:eastAsia="游明朝" w:hAnsi="游明朝" w:cs="游明朝" w:hint="eastAsia"/>
          <w:color w:val="3C4043"/>
          <w:sz w:val="27"/>
          <w:szCs w:val="27"/>
          <w:shd w:val="clear" w:color="auto" w:fill="F5F5F5"/>
        </w:rPr>
        <w:t>上升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4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點至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+5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，這是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1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年來首次改善自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2021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年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9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月以來的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9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個月（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7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個季度）。</w:t>
      </w:r>
      <w:r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原材料價格的平靜和汽車生產的複蘇促成了這一點。</w:t>
      </w:r>
      <w:r>
        <w:rPr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D2E3FC"/>
        </w:rPr>
        <w:t>大型非製造業也增長了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D2E3FC"/>
        </w:rPr>
        <w:t xml:space="preserve"> 3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D2E3FC"/>
        </w:rPr>
        <w:t>個百分點，達到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D2E3FC"/>
        </w:rPr>
        <w:t xml:space="preserve"> +23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D2E3FC"/>
        </w:rPr>
        <w:t>，連續第五個季度出現改善。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</w:t>
      </w:r>
    </w:p>
    <w:p w14:paraId="499641A9" w14:textId="77777777" w:rsidR="00635A04" w:rsidRDefault="00635A04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</w:p>
    <w:p w14:paraId="0551D144" w14:textId="77777777" w:rsidR="00635A04" w:rsidRDefault="00635A04">
      <w:pP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</w:pPr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2022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財年稅收創歷史新高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71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萬億日元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</w:p>
    <w:p w14:paraId="5E252818" w14:textId="77777777" w:rsidR="00635A04" w:rsidRDefault="00635A04">
      <w:pP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</w:pPr>
    </w:p>
    <w:p w14:paraId="57502931" w14:textId="2ED5E0FD" w:rsidR="00635A04" w:rsidRPr="00635A04" w:rsidRDefault="00635A04" w:rsidP="00635A04">
      <w:pPr>
        <w:ind w:firstLineChars="100" w:firstLine="270"/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財務省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3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日公佈的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2022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財年一般賬戶結算概要，該國稅收收入比上年增長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6.1%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，達到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711374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億日元。</w:t>
      </w:r>
    </w:p>
    <w:p w14:paraId="72E76707" w14:textId="77777777" w:rsidR="0088285B" w:rsidRDefault="0088285B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</w:p>
    <w:p w14:paraId="109C45EB" w14:textId="10FDC7D1" w:rsidR="00DE62DC" w:rsidRDefault="0088285B"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lastRenderedPageBreak/>
        <w:t>（來源產經新聞）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*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下一篇文章定於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7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月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 xml:space="preserve"> 21 </w:t>
      </w:r>
      <w: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  <w:t>日發布。</w:t>
      </w:r>
    </w:p>
    <w:sectPr w:rsidR="00DE6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5B"/>
    <w:rsid w:val="00055247"/>
    <w:rsid w:val="003519ED"/>
    <w:rsid w:val="00635A04"/>
    <w:rsid w:val="0088285B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FD979"/>
  <w15:chartTrackingRefBased/>
  <w15:docId w15:val="{AA1EE206-4748-410E-8241-7609A714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88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2023-07-03T22:39:00Z</dcterms:created>
  <dcterms:modified xsi:type="dcterms:W3CDTF">2023-07-03T22:51:00Z</dcterms:modified>
</cp:coreProperties>
</file>